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521159" w:rsidRPr="00792A63" w:rsidRDefault="000724EA" w:rsidP="00521159">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521159" w:rsidRPr="00792A63">
        <w:rPr>
          <w:rFonts w:ascii="Times New Roman" w:hAnsi="Times New Roman"/>
          <w:sz w:val="22"/>
          <w:szCs w:val="22"/>
        </w:rPr>
        <w:t>Any written communication relating to this Contract between the Contracting Authority and the Project Manager, on the one hand, and the Contractor on the other must state the Contract title and identification number, and must be sent by post, e-mail or by hand.</w:t>
      </w:r>
    </w:p>
    <w:p w:rsidR="00521159" w:rsidRDefault="00521159" w:rsidP="00521159">
      <w:pPr>
        <w:ind w:left="1080"/>
        <w:rPr>
          <w:rFonts w:ascii="Times New Roman" w:hAnsi="Times New Roman"/>
          <w:sz w:val="22"/>
          <w:szCs w:val="22"/>
          <w:highlight w:val="yellow"/>
        </w:rPr>
      </w:pPr>
      <w:r w:rsidRPr="00792A63">
        <w:rPr>
          <w:rFonts w:ascii="Times New Roman" w:hAnsi="Times New Roman"/>
          <w:sz w:val="22"/>
          <w:szCs w:val="22"/>
        </w:rPr>
        <w:t>Contact persons, addresses of the parties and contact details that will be used for communication:</w:t>
      </w:r>
    </w:p>
    <w:p w:rsidR="00521159" w:rsidRDefault="00521159" w:rsidP="00521159">
      <w:pPr>
        <w:ind w:left="1134" w:hanging="567"/>
        <w:rPr>
          <w:rFonts w:ascii="Times New Roman" w:hAnsi="Times New Roman"/>
          <w:sz w:val="22"/>
          <w:szCs w:val="22"/>
        </w:rPr>
      </w:pPr>
      <w:r>
        <w:rPr>
          <w:rFonts w:ascii="Times New Roman" w:hAnsi="Times New Roman"/>
          <w:sz w:val="22"/>
          <w:szCs w:val="22"/>
        </w:rPr>
        <w:t xml:space="preserve">   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521159" w:rsidRPr="00864FE5" w:rsidRDefault="00521159" w:rsidP="00521159">
      <w:pPr>
        <w:jc w:val="both"/>
        <w:rPr>
          <w:rFonts w:ascii="Times New Roman" w:hAnsi="Times New Roman"/>
          <w:sz w:val="22"/>
          <w:szCs w:val="22"/>
        </w:rPr>
      </w:pPr>
    </w:p>
    <w:p w:rsidR="00521159" w:rsidRPr="00864FE5" w:rsidRDefault="00521159" w:rsidP="00521159">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521159" w:rsidRPr="00864FE5" w:rsidRDefault="00521159" w:rsidP="0002796C">
            <w:pPr>
              <w:jc w:val="both"/>
              <w:rPr>
                <w:rFonts w:ascii="Times New Roman" w:hAnsi="Times New Roman"/>
                <w:sz w:val="22"/>
                <w:szCs w:val="22"/>
              </w:rPr>
            </w:pPr>
          </w:p>
        </w:tc>
      </w:tr>
      <w:tr w:rsidR="00521159" w:rsidRPr="00864FE5" w:rsidTr="0002796C">
        <w:trPr>
          <w:jc w:val="center"/>
        </w:trPr>
        <w:tc>
          <w:tcPr>
            <w:tcW w:w="1548" w:type="dxa"/>
            <w:shd w:val="pct10" w:color="auto" w:fill="FFFFFF"/>
          </w:tcPr>
          <w:p w:rsidR="00521159" w:rsidRPr="00864FE5" w:rsidRDefault="00521159" w:rsidP="0002796C">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521159" w:rsidRPr="00864FE5" w:rsidRDefault="00521159" w:rsidP="0002796C">
            <w:pPr>
              <w:jc w:val="both"/>
              <w:rPr>
                <w:rFonts w:ascii="Times New Roman" w:hAnsi="Times New Roman"/>
                <w:sz w:val="22"/>
                <w:szCs w:val="22"/>
              </w:rPr>
            </w:pPr>
          </w:p>
        </w:tc>
      </w:tr>
    </w:tbl>
    <w:p w:rsidR="006D3DE4" w:rsidRPr="003D6B6C" w:rsidRDefault="006D3DE4" w:rsidP="007F13B3">
      <w:pPr>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rsidR="0047783A" w:rsidRPr="003D6B6C" w:rsidRDefault="00521159"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sidR="00E20006">
        <w:rPr>
          <w:rFonts w:ascii="Times New Roman" w:hAnsi="Times New Roman"/>
          <w:sz w:val="22"/>
        </w:rPr>
        <w:t xml:space="preserve"> if ap</w:t>
      </w:r>
      <w:r w:rsidR="00EF7855">
        <w:rPr>
          <w:rFonts w:ascii="Times New Roman" w:hAnsi="Times New Roman"/>
          <w:sz w:val="22"/>
        </w:rPr>
        <w:t>p</w:t>
      </w:r>
      <w:r w:rsidR="00E20006">
        <w:rPr>
          <w:rFonts w:ascii="Times New Roman" w:hAnsi="Times New Roman"/>
          <w:sz w:val="22"/>
        </w:rPr>
        <w:t>licable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521159" w:rsidRPr="00E11246" w:rsidRDefault="00521159" w:rsidP="00521159">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521159" w:rsidRPr="00E11246" w:rsidRDefault="00521159" w:rsidP="00521159">
      <w:pPr>
        <w:jc w:val="both"/>
        <w:rPr>
          <w:rFonts w:ascii="Times New Roman" w:hAnsi="Times New Roman"/>
          <w:sz w:val="22"/>
          <w:szCs w:val="22"/>
        </w:rPr>
      </w:pPr>
      <w:r w:rsidRPr="00E11246">
        <w:rPr>
          <w:rFonts w:ascii="Times New Roman" w:hAnsi="Times New Roman"/>
          <w:sz w:val="22"/>
          <w:szCs w:val="22"/>
        </w:rPr>
        <w:lastRenderedPageBreak/>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521159" w:rsidP="00521159">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521159">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521159" w:rsidRPr="00A7016F">
        <w:rPr>
          <w:rFonts w:ascii="Times New Roman" w:hAnsi="Times New Roman"/>
          <w:sz w:val="22"/>
          <w:szCs w:val="22"/>
          <w:lang w:val="en-IE"/>
        </w:rPr>
        <w:t xml:space="preserve">All goods purchased can originate </w:t>
      </w:r>
      <w:r w:rsidR="00521159">
        <w:rPr>
          <w:rFonts w:ascii="Times New Roman" w:hAnsi="Times New Roman"/>
          <w:sz w:val="22"/>
          <w:szCs w:val="22"/>
          <w:lang w:val="en-IE"/>
        </w:rPr>
        <w:t xml:space="preserve">in </w:t>
      </w:r>
      <w:r w:rsidR="00521159" w:rsidRPr="00A7016F">
        <w:rPr>
          <w:rFonts w:ascii="Times New Roman" w:hAnsi="Times New Roman"/>
          <w:sz w:val="22"/>
          <w:szCs w:val="22"/>
          <w:lang w:val="en-IE"/>
        </w:rPr>
        <w:t>any country.</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D25711" w:rsidRPr="003D6B6C" w:rsidRDefault="00F355C1" w:rsidP="00F915B4">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F915B4">
        <w:rPr>
          <w:rFonts w:ascii="Times New Roman" w:hAnsi="Times New Roman"/>
          <w:sz w:val="22"/>
          <w:szCs w:val="22"/>
        </w:rPr>
        <w:t xml:space="preserve">The amount of the performance guarantee </w:t>
      </w:r>
      <w:r w:rsidR="005B0129" w:rsidRPr="00F915B4">
        <w:rPr>
          <w:rFonts w:ascii="Times New Roman" w:hAnsi="Times New Roman"/>
          <w:sz w:val="22"/>
          <w:szCs w:val="22"/>
        </w:rPr>
        <w:t xml:space="preserve">shall </w:t>
      </w:r>
      <w:r w:rsidR="0047783A" w:rsidRPr="00F915B4">
        <w:rPr>
          <w:rFonts w:ascii="Times New Roman" w:hAnsi="Times New Roman"/>
          <w:sz w:val="22"/>
          <w:szCs w:val="22"/>
        </w:rPr>
        <w:t>be</w:t>
      </w:r>
      <w:r w:rsidR="00F915B4" w:rsidRPr="00F915B4">
        <w:rPr>
          <w:rFonts w:ascii="Times New Roman" w:hAnsi="Times New Roman"/>
          <w:sz w:val="22"/>
          <w:szCs w:val="22"/>
        </w:rPr>
        <w:t xml:space="preserve"> 5%</w:t>
      </w:r>
      <w:r w:rsidR="00D662AA" w:rsidRPr="00F915B4">
        <w:rPr>
          <w:rFonts w:ascii="Times New Roman" w:hAnsi="Times New Roman"/>
          <w:sz w:val="22"/>
          <w:szCs w:val="22"/>
        </w:rPr>
        <w:t xml:space="preserve"> </w:t>
      </w:r>
      <w:r w:rsidR="0047783A" w:rsidRPr="00F915B4">
        <w:rPr>
          <w:rFonts w:ascii="Times New Roman" w:hAnsi="Times New Roman"/>
          <w:sz w:val="22"/>
          <w:szCs w:val="22"/>
        </w:rPr>
        <w:t xml:space="preserve">of the </w:t>
      </w:r>
      <w:r w:rsidR="001E2362" w:rsidRPr="00F915B4">
        <w:rPr>
          <w:rFonts w:ascii="Times New Roman" w:hAnsi="Times New Roman"/>
          <w:sz w:val="22"/>
          <w:szCs w:val="22"/>
        </w:rPr>
        <w:t xml:space="preserve">total </w:t>
      </w:r>
      <w:r w:rsidR="00B2529B" w:rsidRPr="00F915B4">
        <w:rPr>
          <w:rFonts w:ascii="Times New Roman" w:hAnsi="Times New Roman"/>
          <w:sz w:val="22"/>
          <w:szCs w:val="22"/>
        </w:rPr>
        <w:t>c</w:t>
      </w:r>
      <w:r w:rsidR="0097513D" w:rsidRPr="00F915B4">
        <w:rPr>
          <w:rFonts w:ascii="Times New Roman" w:hAnsi="Times New Roman"/>
          <w:sz w:val="22"/>
          <w:szCs w:val="22"/>
        </w:rPr>
        <w:t>ontract</w:t>
      </w:r>
      <w:r w:rsidR="00F915B4" w:rsidRPr="00F915B4">
        <w:rPr>
          <w:rFonts w:ascii="Times New Roman" w:hAnsi="Times New Roman"/>
          <w:sz w:val="22"/>
          <w:szCs w:val="22"/>
        </w:rPr>
        <w:t xml:space="preserve"> </w:t>
      </w:r>
      <w:r w:rsidR="001E2362" w:rsidRPr="00F915B4">
        <w:rPr>
          <w:rFonts w:ascii="Times New Roman" w:hAnsi="Times New Roman"/>
          <w:sz w:val="22"/>
          <w:szCs w:val="22"/>
        </w:rPr>
        <w:t>price</w:t>
      </w:r>
      <w:r w:rsidR="00637C8F" w:rsidRPr="00F915B4">
        <w:rPr>
          <w:rFonts w:ascii="Times New Roman" w:hAnsi="Times New Roman"/>
          <w:sz w:val="22"/>
          <w:szCs w:val="22"/>
        </w:rPr>
        <w:t>,</w:t>
      </w:r>
      <w:r w:rsidR="00F915B4" w:rsidRPr="00F915B4">
        <w:rPr>
          <w:rFonts w:ascii="Times New Roman" w:hAnsi="Times New Roman"/>
          <w:sz w:val="22"/>
          <w:szCs w:val="22"/>
        </w:rPr>
        <w:t xml:space="preserve"> </w:t>
      </w:r>
      <w:r w:rsidR="00637C8F" w:rsidRPr="00F915B4">
        <w:rPr>
          <w:rFonts w:ascii="Times New Roman" w:hAnsi="Times New Roman"/>
          <w:sz w:val="22"/>
          <w:szCs w:val="22"/>
        </w:rPr>
        <w:t xml:space="preserve">including any amounts stipulated in addenda to the </w:t>
      </w:r>
      <w:r w:rsidR="00B2529B" w:rsidRPr="00F915B4">
        <w:rPr>
          <w:rFonts w:ascii="Times New Roman" w:hAnsi="Times New Roman"/>
          <w:sz w:val="22"/>
          <w:szCs w:val="22"/>
        </w:rPr>
        <w:t>c</w:t>
      </w:r>
      <w:r w:rsidR="00637C8F" w:rsidRPr="00F915B4">
        <w:rPr>
          <w:rFonts w:ascii="Times New Roman" w:hAnsi="Times New Roman"/>
          <w:sz w:val="22"/>
          <w:szCs w:val="22"/>
        </w:rPr>
        <w:t>ontract</w:t>
      </w:r>
      <w:r w:rsidR="00F915B4" w:rsidRPr="00F915B4">
        <w:rPr>
          <w:rFonts w:ascii="Times New Roman" w:hAnsi="Times New Roman"/>
          <w:sz w:val="22"/>
          <w:szCs w:val="22"/>
        </w:rPr>
        <w:t>.</w:t>
      </w:r>
    </w:p>
    <w:p w:rsidR="00E76535" w:rsidRPr="003D6B6C" w:rsidRDefault="00E76535" w:rsidP="003D6B6C">
      <w:pPr>
        <w:pStyle w:val="Default"/>
        <w:ind w:left="2268"/>
        <w:jc w:val="both"/>
        <w:rPr>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F915B4" w:rsidRPr="00132326">
        <w:rPr>
          <w:rFonts w:ascii="Times New Roman" w:hAnsi="Times New Roman"/>
          <w:sz w:val="22"/>
          <w:szCs w:val="22"/>
        </w:rPr>
        <w:t xml:space="preserve">Delivery of the supplies to the place of acceptance shall be finalised within </w:t>
      </w:r>
      <w:r w:rsidR="00C95629">
        <w:rPr>
          <w:rFonts w:ascii="Times New Roman" w:hAnsi="Times New Roman"/>
          <w:sz w:val="22"/>
          <w:szCs w:val="22"/>
        </w:rPr>
        <w:t>12</w:t>
      </w:r>
      <w:r w:rsidR="00E20006">
        <w:rPr>
          <w:rFonts w:ascii="Times New Roman" w:hAnsi="Times New Roman"/>
          <w:sz w:val="22"/>
          <w:szCs w:val="22"/>
        </w:rPr>
        <w:t>0 day</w:t>
      </w:r>
      <w:r w:rsidR="00F915B4">
        <w:rPr>
          <w:rFonts w:ascii="Times New Roman" w:hAnsi="Times New Roman"/>
          <w:sz w:val="22"/>
          <w:szCs w:val="22"/>
        </w:rPr>
        <w:t>s</w:t>
      </w:r>
      <w:r w:rsidR="00F915B4" w:rsidRPr="00132326">
        <w:rPr>
          <w:rFonts w:ascii="Times New Roman" w:hAnsi="Times New Roman"/>
          <w:sz w:val="22"/>
          <w:szCs w:val="22"/>
        </w:rPr>
        <w:t xml:space="preserve"> from </w:t>
      </w:r>
      <w:r w:rsidR="00F915B4">
        <w:rPr>
          <w:rFonts w:ascii="Times New Roman" w:hAnsi="Times New Roman"/>
          <w:sz w:val="22"/>
          <w:szCs w:val="22"/>
        </w:rPr>
        <w:t xml:space="preserve">commencement </w:t>
      </w:r>
      <w:r w:rsidR="00EC08EA">
        <w:rPr>
          <w:rFonts w:ascii="Times New Roman" w:hAnsi="Times New Roman"/>
          <w:sz w:val="22"/>
          <w:szCs w:val="22"/>
        </w:rPr>
        <w:t>date</w:t>
      </w:r>
      <w:r w:rsidR="00F915B4">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F915B4" w:rsidRPr="00F938A1">
        <w:rPr>
          <w:rFonts w:ascii="Times New Roman" w:hAnsi="Times New Roman"/>
          <w:sz w:val="22"/>
          <w:szCs w:val="22"/>
        </w:rPr>
        <w:t>The prices in the contract are fixed and not subject to any revision</w:t>
      </w:r>
      <w:r w:rsidR="00F915B4">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361F7D" w:rsidRPr="003D6B6C" w:rsidRDefault="00C52305" w:rsidP="007C295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7C2955"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7C2955" w:rsidRPr="00C81E76">
        <w:rPr>
          <w:rFonts w:ascii="Times New Roman" w:hAnsi="Times New Roman"/>
          <w:sz w:val="24"/>
          <w:szCs w:val="24"/>
          <w:lang w:val="en-US"/>
        </w:rPr>
        <w:t xml:space="preserve">identified on the invoices. </w:t>
      </w:r>
      <w:r w:rsidR="007C2955" w:rsidRPr="00C81E76">
        <w:rPr>
          <w:rFonts w:ascii="Times New Roman" w:hAnsi="Times New Roman"/>
          <w:bCs/>
          <w:sz w:val="24"/>
          <w:szCs w:val="24"/>
        </w:rPr>
        <w:t>For this contract VAT is eligible cost.</w:t>
      </w:r>
    </w:p>
    <w:p w:rsidR="00EB32E9" w:rsidRPr="003D6B6C" w:rsidRDefault="0047783A" w:rsidP="00B34179">
      <w:pPr>
        <w:spacing w:before="240"/>
        <w:ind w:left="1134" w:hanging="1134"/>
        <w:jc w:val="both"/>
        <w:rPr>
          <w:rFonts w:ascii="Times New Roman" w:hAnsi="Times New Roman"/>
          <w:b/>
          <w:sz w:val="24"/>
          <w:szCs w:val="24"/>
        </w:rPr>
      </w:pPr>
      <w:bookmarkStart w:id="9"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9"/>
    </w:p>
    <w:p w:rsidR="00EB32E9" w:rsidRPr="003D6B6C" w:rsidRDefault="0047783A"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b/>
          <w:sz w:val="22"/>
          <w:szCs w:val="22"/>
        </w:rPr>
        <w:tab/>
      </w:r>
      <w:r w:rsidR="00EC08EA" w:rsidRPr="00356C60">
        <w:rPr>
          <w:rFonts w:ascii="Times New Roman" w:hAnsi="Times New Roman"/>
          <w:sz w:val="22"/>
          <w:szCs w:val="22"/>
        </w:rPr>
        <w:t>The implementation of the tasks shall start on the date of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10"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0"/>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C95629">
        <w:rPr>
          <w:rFonts w:ascii="Times New Roman" w:hAnsi="Times New Roman"/>
          <w:sz w:val="22"/>
          <w:szCs w:val="22"/>
        </w:rPr>
        <w:t>120</w:t>
      </w:r>
      <w:r w:rsidR="00E20006">
        <w:rPr>
          <w:rFonts w:ascii="Times New Roman" w:hAnsi="Times New Roman"/>
          <w:sz w:val="22"/>
          <w:szCs w:val="22"/>
        </w:rPr>
        <w:t xml:space="preserve"> days</w:t>
      </w:r>
      <w:r w:rsidR="00653DB6">
        <w:rPr>
          <w:rFonts w:ascii="Times New Roman" w:hAnsi="Times New Roman"/>
          <w:sz w:val="22"/>
          <w:szCs w:val="22"/>
        </w:rPr>
        <w:t xml:space="preserve"> </w:t>
      </w:r>
      <w:r w:rsidR="00653DB6" w:rsidRPr="00A940DC">
        <w:rPr>
          <w:rFonts w:ascii="Times New Roman" w:hAnsi="Times New Roman"/>
          <w:sz w:val="22"/>
        </w:rPr>
        <w:t xml:space="preserve">from </w:t>
      </w:r>
      <w:r w:rsidR="00653DB6">
        <w:rPr>
          <w:rFonts w:ascii="Times New Roman" w:hAnsi="Times New Roman"/>
          <w:sz w:val="22"/>
        </w:rPr>
        <w:t xml:space="preserve">commencement </w:t>
      </w:r>
      <w:r w:rsidR="00EC08EA">
        <w:rPr>
          <w:rFonts w:ascii="Times New Roman" w:hAnsi="Times New Roman"/>
          <w:sz w:val="22"/>
        </w:rPr>
        <w:t>date</w:t>
      </w:r>
      <w:r w:rsidR="00653DB6">
        <w:rPr>
          <w:rFonts w:ascii="Times New Roman" w:hAnsi="Times New Roman"/>
          <w:sz w:val="22"/>
        </w:rPr>
        <w:t xml:space="preserve"> until </w:t>
      </w:r>
      <w:r w:rsidR="00653DB6" w:rsidRPr="005568F6">
        <w:rPr>
          <w:rFonts w:ascii="Times New Roman" w:hAnsi="Times New Roman"/>
          <w:sz w:val="22"/>
        </w:rPr>
        <w:t>date for provisional acceptance</w:t>
      </w:r>
      <w:r w:rsidR="00653DB6" w:rsidRPr="00A940DC">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1"/>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653DB6">
        <w:rPr>
          <w:rFonts w:ascii="Times New Roman" w:hAnsi="Times New Roman"/>
          <w:sz w:val="22"/>
          <w:szCs w:val="22"/>
        </w:rPr>
        <w:t>No preliminary technical acceptance is required.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2"/>
    </w:p>
    <w:p w:rsidR="00653DB6" w:rsidRPr="00864FE5" w:rsidRDefault="005B0129" w:rsidP="00653DB6">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653DB6" w:rsidRPr="00864FE5">
        <w:rPr>
          <w:rFonts w:ascii="Times New Roman" w:hAnsi="Times New Roman"/>
          <w:bCs/>
          <w:sz w:val="22"/>
          <w:szCs w:val="22"/>
        </w:rPr>
        <w:t xml:space="preserve">The inspection and testing prior to the provisional acceptance will take place at the locations where the </w:t>
      </w:r>
      <w:r w:rsidR="00653DB6">
        <w:rPr>
          <w:rFonts w:ascii="Times New Roman" w:hAnsi="Times New Roman"/>
          <w:bCs/>
          <w:sz w:val="22"/>
          <w:szCs w:val="22"/>
        </w:rPr>
        <w:t>goods are</w:t>
      </w:r>
      <w:r w:rsidR="00653DB6" w:rsidRPr="00864FE5">
        <w:rPr>
          <w:rFonts w:ascii="Times New Roman" w:hAnsi="Times New Roman"/>
          <w:bCs/>
          <w:sz w:val="22"/>
          <w:szCs w:val="22"/>
        </w:rPr>
        <w:t xml:space="preserve"> delivered. The inspection and testing will be started and completed within a maximum of </w:t>
      </w:r>
      <w:r w:rsidR="00E20006">
        <w:rPr>
          <w:rFonts w:ascii="Times New Roman" w:hAnsi="Times New Roman"/>
          <w:bCs/>
          <w:sz w:val="22"/>
          <w:szCs w:val="22"/>
        </w:rPr>
        <w:t>7</w:t>
      </w:r>
      <w:r w:rsidR="00653DB6" w:rsidRPr="00864FE5">
        <w:rPr>
          <w:rFonts w:ascii="Times New Roman" w:hAnsi="Times New Roman"/>
          <w:bCs/>
          <w:sz w:val="22"/>
          <w:szCs w:val="22"/>
        </w:rPr>
        <w:t xml:space="preserve"> calendar days after delivery.</w:t>
      </w:r>
    </w:p>
    <w:p w:rsidR="0047783A" w:rsidRPr="003D6B6C" w:rsidRDefault="00653DB6" w:rsidP="00653DB6">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3"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3"/>
      <w:r w:rsidR="005B0129" w:rsidRPr="003D6B6C">
        <w:rPr>
          <w:rFonts w:ascii="Times New Roman" w:hAnsi="Times New Roman"/>
          <w:b/>
          <w:sz w:val="24"/>
          <w:szCs w:val="24"/>
        </w:rPr>
        <w:t>General principles for payments</w:t>
      </w:r>
    </w:p>
    <w:p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653DB6" w:rsidRPr="00132326">
        <w:rPr>
          <w:rFonts w:ascii="Times New Roman" w:hAnsi="Times New Roman"/>
          <w:sz w:val="22"/>
          <w:szCs w:val="22"/>
        </w:rPr>
        <w:t>Payments shall be made in euro for the companies registered outside Serbia and RSD for companies registered in Serbia</w:t>
      </w:r>
      <w:r w:rsidR="00653DB6">
        <w:rPr>
          <w:rFonts w:ascii="Times New Roman" w:hAnsi="Times New Roman"/>
          <w:sz w:val="22"/>
          <w:szCs w:val="22"/>
        </w:rPr>
        <w:t>.</w:t>
      </w:r>
    </w:p>
    <w:p w:rsidR="00653DB6" w:rsidRPr="00132326" w:rsidRDefault="00653DB6" w:rsidP="00653DB6">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invoice </w:t>
      </w:r>
    </w:p>
    <w:p w:rsidR="0047783A" w:rsidRPr="003D6B6C" w:rsidRDefault="00653DB6" w:rsidP="00653DB6">
      <w:pPr>
        <w:ind w:left="1134"/>
        <w:jc w:val="both"/>
        <w:rPr>
          <w:rFonts w:ascii="Times New Roman" w:hAnsi="Times New Roman"/>
          <w:sz w:val="22"/>
          <w:szCs w:val="22"/>
        </w:rPr>
      </w:pPr>
      <w:r w:rsidRPr="00132326">
        <w:rPr>
          <w:rFonts w:ascii="Times New Roman" w:hAnsi="Times New Roman"/>
          <w:sz w:val="22"/>
          <w:szCs w:val="22"/>
        </w:rPr>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p>
    <w:p w:rsidR="008733D3" w:rsidRPr="003D6B6C" w:rsidRDefault="006D5CEE" w:rsidP="00653DB6">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00653DB6" w:rsidRPr="00932E5F">
        <w:rPr>
          <w:rFonts w:ascii="Times New Roman" w:hAnsi="Times New Roman"/>
          <w:sz w:val="22"/>
          <w:szCs w:val="22"/>
        </w:rPr>
        <w:t>By derogation, the final payment to the contractor of the amounts due shall be made within 90 days after receipt by the contracting authority of an invoice and of the application for the certificate of provisional acceptance.</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3D6B6C" w:rsidRDefault="00035D61" w:rsidP="00653DB6">
      <w:pPr>
        <w:ind w:left="1560" w:hanging="426"/>
        <w:jc w:val="both"/>
        <w:rPr>
          <w:rFonts w:ascii="Times New Roman" w:hAnsi="Times New Roman"/>
          <w:bCs/>
          <w:sz w:val="22"/>
          <w:szCs w:val="22"/>
        </w:rPr>
      </w:pPr>
      <w:r w:rsidRPr="003D6B6C">
        <w:rPr>
          <w:rFonts w:ascii="Times New Roman" w:hAnsi="Times New Roman"/>
          <w:sz w:val="22"/>
          <w:szCs w:val="22"/>
        </w:rPr>
        <w:t>a)</w:t>
      </w:r>
      <w:r w:rsidRPr="003D6B6C">
        <w:rPr>
          <w:rFonts w:ascii="Times New Roman" w:hAnsi="Times New Roman"/>
          <w:b/>
          <w:sz w:val="22"/>
          <w:szCs w:val="22"/>
        </w:rPr>
        <w:tab/>
      </w:r>
      <w:r w:rsidR="00653DB6" w:rsidRPr="0084416B">
        <w:rPr>
          <w:rFonts w:ascii="Times New Roman" w:hAnsi="Times New Roman"/>
          <w:bCs/>
          <w:sz w:val="22"/>
          <w:szCs w:val="22"/>
        </w:rPr>
        <w:t>For the 40% pre-financing</w:t>
      </w:r>
      <w:r w:rsidR="00653DB6" w:rsidRPr="0084416B">
        <w:rPr>
          <w:rFonts w:ascii="Times New Roman" w:hAnsi="Times New Roman"/>
          <w:sz w:val="22"/>
          <w:szCs w:val="22"/>
        </w:rPr>
        <w:t xml:space="preserve">, </w:t>
      </w:r>
      <w:r w:rsidR="00653DB6" w:rsidRPr="0084416B">
        <w:rPr>
          <w:rFonts w:ascii="Times New Roman" w:hAnsi="Times New Roman"/>
          <w:bCs/>
          <w:sz w:val="22"/>
          <w:szCs w:val="22"/>
        </w:rPr>
        <w:t>the pre-financing guarantee</w:t>
      </w:r>
      <w:r w:rsidR="00653DB6">
        <w:rPr>
          <w:rFonts w:ascii="Times New Roman" w:hAnsi="Times New Roman"/>
          <w:bCs/>
          <w:sz w:val="22"/>
          <w:szCs w:val="22"/>
        </w:rPr>
        <w:t xml:space="preserve"> covering full amount (if pre-finance requested by Contractor)</w:t>
      </w:r>
    </w:p>
    <w:p w:rsidR="0047783A" w:rsidRPr="003D6B6C" w:rsidRDefault="0047783A" w:rsidP="00035D61">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00653DB6" w:rsidRPr="0084416B">
        <w:rPr>
          <w:rFonts w:ascii="Times New Roman" w:hAnsi="Times New Roman"/>
          <w:bCs/>
          <w:sz w:val="22"/>
          <w:szCs w:val="22"/>
        </w:rPr>
        <w:t>For the balance</w:t>
      </w:r>
      <w:r w:rsidR="00653DB6" w:rsidRPr="0084416B">
        <w:rPr>
          <w:rFonts w:ascii="Times New Roman" w:hAnsi="Times New Roman"/>
          <w:sz w:val="22"/>
          <w:szCs w:val="22"/>
        </w:rPr>
        <w:t xml:space="preserve"> the invoice(s) together with the request for provisional acceptance of the supplies</w:t>
      </w:r>
      <w:r w:rsidR="00653DB6" w:rsidRPr="003D6B6C">
        <w:rPr>
          <w:rFonts w:ascii="Times New Roman" w:hAnsi="Times New Roman"/>
          <w:sz w:val="22"/>
          <w:szCs w:val="22"/>
        </w:rPr>
        <w:t>.</w:t>
      </w:r>
      <w:r w:rsidR="004433E5">
        <w:rPr>
          <w:rFonts w:ascii="Times New Roman" w:hAnsi="Times New Roman"/>
          <w:sz w:val="22"/>
          <w:szCs w:val="22"/>
        </w:rPr>
        <w:t xml:space="preserve"> (60% if Contractor received pre-financing or 100% if not)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653DB6" w:rsidRPr="00F538EC">
        <w:rPr>
          <w:rFonts w:ascii="Times New Roman" w:hAnsi="Times New Roman"/>
          <w:sz w:val="22"/>
          <w:szCs w:val="22"/>
        </w:rPr>
        <w:t>This contract does not include a price revision clause</w:t>
      </w:r>
      <w:r w:rsidR="00653DB6">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4"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AB652F">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AB652F">
        <w:rPr>
          <w:rFonts w:ascii="Times New Roman" w:hAnsi="Times New Roman"/>
          <w:snapToGrid/>
          <w:sz w:val="22"/>
          <w:szCs w:val="22"/>
          <w:lang w:eastAsia="en-GB"/>
        </w:rPr>
        <w:t xml:space="preserve">By derogation from Article 28.2 of the </w:t>
      </w:r>
      <w:r w:rsidR="00F60098" w:rsidRPr="00AB652F">
        <w:rPr>
          <w:rFonts w:ascii="Times New Roman" w:hAnsi="Times New Roman"/>
          <w:snapToGrid/>
          <w:sz w:val="22"/>
          <w:szCs w:val="22"/>
          <w:lang w:eastAsia="en-GB"/>
        </w:rPr>
        <w:t>g</w:t>
      </w:r>
      <w:r w:rsidRPr="00AB652F">
        <w:rPr>
          <w:rFonts w:ascii="Times New Roman" w:hAnsi="Times New Roman"/>
          <w:snapToGrid/>
          <w:sz w:val="22"/>
          <w:szCs w:val="22"/>
          <w:lang w:eastAsia="en-GB"/>
        </w:rPr>
        <w:t xml:space="preserve">eneral </w:t>
      </w:r>
      <w:r w:rsidR="00F60098" w:rsidRPr="00AB652F">
        <w:rPr>
          <w:rFonts w:ascii="Times New Roman" w:hAnsi="Times New Roman"/>
          <w:snapToGrid/>
          <w:sz w:val="22"/>
          <w:szCs w:val="22"/>
          <w:lang w:eastAsia="en-GB"/>
        </w:rPr>
        <w:t>c</w:t>
      </w:r>
      <w:r w:rsidRPr="00AB652F">
        <w:rPr>
          <w:rFonts w:ascii="Times New Roman" w:hAnsi="Times New Roman"/>
          <w:snapToGrid/>
          <w:sz w:val="22"/>
          <w:szCs w:val="22"/>
          <w:lang w:eastAsia="en-GB"/>
        </w:rPr>
        <w:t>onditions, o</w:t>
      </w:r>
      <w:r w:rsidRPr="00AB652F">
        <w:rPr>
          <w:rFonts w:ascii="Times New Roman" w:hAnsi="Times New Roman"/>
          <w:sz w:val="22"/>
          <w:szCs w:val="22"/>
        </w:rPr>
        <w:t>nce the deadline laid down in Article 2</w:t>
      </w:r>
      <w:r w:rsidR="00D83918" w:rsidRPr="00AB652F">
        <w:rPr>
          <w:rFonts w:ascii="Times New Roman" w:hAnsi="Times New Roman"/>
          <w:sz w:val="22"/>
          <w:szCs w:val="22"/>
        </w:rPr>
        <w:t>6.3</w:t>
      </w:r>
      <w:r w:rsidRPr="00AB652F">
        <w:rPr>
          <w:rFonts w:ascii="Times New Roman" w:hAnsi="Times New Roman"/>
          <w:sz w:val="22"/>
          <w:szCs w:val="22"/>
        </w:rPr>
        <w:t xml:space="preserve"> has expired, the </w:t>
      </w:r>
      <w:r w:rsidR="00F60098" w:rsidRPr="00AB652F">
        <w:rPr>
          <w:rFonts w:ascii="Times New Roman" w:hAnsi="Times New Roman"/>
          <w:sz w:val="22"/>
          <w:szCs w:val="22"/>
        </w:rPr>
        <w:t>c</w:t>
      </w:r>
      <w:r w:rsidRPr="00AB652F">
        <w:rPr>
          <w:rFonts w:ascii="Times New Roman" w:hAnsi="Times New Roman"/>
          <w:sz w:val="22"/>
          <w:szCs w:val="22"/>
        </w:rPr>
        <w:t xml:space="preserve">ontractor </w:t>
      </w:r>
      <w:r w:rsidR="00551543" w:rsidRPr="00AB652F">
        <w:rPr>
          <w:rFonts w:ascii="Times New Roman" w:hAnsi="Times New Roman"/>
          <w:sz w:val="22"/>
          <w:szCs w:val="22"/>
        </w:rPr>
        <w:t>sha</w:t>
      </w:r>
      <w:r w:rsidR="006D3BA1" w:rsidRPr="00AB652F">
        <w:rPr>
          <w:rFonts w:ascii="Times New Roman" w:hAnsi="Times New Roman"/>
          <w:sz w:val="22"/>
          <w:szCs w:val="22"/>
        </w:rPr>
        <w:t>ll,</w:t>
      </w:r>
      <w:r w:rsidRPr="00AB652F">
        <w:rPr>
          <w:rFonts w:ascii="Times New Roman" w:hAnsi="Times New Roman"/>
          <w:sz w:val="22"/>
          <w:szCs w:val="22"/>
        </w:rPr>
        <w:t xml:space="preserve"> upon demand, </w:t>
      </w:r>
      <w:r w:rsidR="006D3BA1" w:rsidRPr="00AB652F">
        <w:rPr>
          <w:rFonts w:ascii="Times New Roman" w:hAnsi="Times New Roman"/>
          <w:sz w:val="22"/>
          <w:szCs w:val="22"/>
        </w:rPr>
        <w:t xml:space="preserve">be entitled to late-payment interest </w:t>
      </w:r>
      <w:r w:rsidR="00117ADA" w:rsidRPr="00AB652F">
        <w:rPr>
          <w:rFonts w:ascii="Times New Roman" w:hAnsi="Times New Roman"/>
          <w:sz w:val="22"/>
          <w:szCs w:val="22"/>
        </w:rPr>
        <w:t xml:space="preserve">at the rate and for the period mentioned in the </w:t>
      </w:r>
      <w:r w:rsidR="00F60098" w:rsidRPr="00AB652F">
        <w:rPr>
          <w:rFonts w:ascii="Times New Roman" w:hAnsi="Times New Roman"/>
          <w:sz w:val="22"/>
          <w:szCs w:val="22"/>
        </w:rPr>
        <w:t>g</w:t>
      </w:r>
      <w:r w:rsidR="00117ADA" w:rsidRPr="00AB652F">
        <w:rPr>
          <w:rFonts w:ascii="Times New Roman" w:hAnsi="Times New Roman"/>
          <w:sz w:val="22"/>
          <w:szCs w:val="22"/>
        </w:rPr>
        <w:t xml:space="preserve">eneral </w:t>
      </w:r>
      <w:r w:rsidR="00F60098" w:rsidRPr="00AB652F">
        <w:rPr>
          <w:rFonts w:ascii="Times New Roman" w:hAnsi="Times New Roman"/>
          <w:sz w:val="22"/>
          <w:szCs w:val="22"/>
        </w:rPr>
        <w:t>c</w:t>
      </w:r>
      <w:r w:rsidR="00117ADA" w:rsidRPr="00AB652F">
        <w:rPr>
          <w:rFonts w:ascii="Times New Roman" w:hAnsi="Times New Roman"/>
          <w:sz w:val="22"/>
          <w:szCs w:val="22"/>
        </w:rPr>
        <w:t>onditions</w:t>
      </w:r>
      <w:r w:rsidR="006D3BA1" w:rsidRPr="00AB652F">
        <w:rPr>
          <w:rFonts w:ascii="Times New Roman" w:hAnsi="Times New Roman"/>
          <w:sz w:val="22"/>
          <w:szCs w:val="22"/>
        </w:rPr>
        <w:t xml:space="preserve">. The demand must be </w:t>
      </w:r>
      <w:r w:rsidRPr="00AB652F">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4"/>
    </w:p>
    <w:p w:rsidR="0047783A" w:rsidRPr="003D6B6C" w:rsidRDefault="0047783A" w:rsidP="00AB652F">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00AB652F" w:rsidRPr="0084416B">
        <w:rPr>
          <w:rFonts w:ascii="Times New Roman" w:hAnsi="Times New Roman"/>
          <w:sz w:val="22"/>
          <w:szCs w:val="22"/>
        </w:rPr>
        <w:t>The packaging shall become the property of the recipient subject to environmental considerations.</w:t>
      </w:r>
    </w:p>
    <w:p w:rsidR="00AB652F" w:rsidRPr="00FA034F" w:rsidRDefault="0047783A" w:rsidP="00AB652F">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AB652F">
        <w:rPr>
          <w:rFonts w:ascii="Times New Roman" w:hAnsi="Times New Roman"/>
          <w:sz w:val="22"/>
          <w:szCs w:val="22"/>
        </w:rPr>
        <w:t>D</w:t>
      </w:r>
      <w:r w:rsidR="00AB652F" w:rsidRPr="00FA034F">
        <w:rPr>
          <w:rFonts w:ascii="Times New Roman" w:hAnsi="Times New Roman"/>
          <w:sz w:val="22"/>
          <w:szCs w:val="22"/>
        </w:rPr>
        <w:t>elivery shall be accompanied by the following documents</w:t>
      </w:r>
      <w:r w:rsidR="00AB652F">
        <w:rPr>
          <w:rFonts w:ascii="Times New Roman" w:hAnsi="Times New Roman"/>
          <w:sz w:val="22"/>
          <w:szCs w:val="22"/>
        </w:rPr>
        <w:t xml:space="preserve"> (if applicable):</w:t>
      </w:r>
    </w:p>
    <w:p w:rsidR="00AB652F" w:rsidRPr="00FA034F" w:rsidRDefault="00AB652F" w:rsidP="00AB652F">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973F90" w:rsidRPr="00973F90" w:rsidRDefault="00AB652F" w:rsidP="00AB652F">
      <w:pPr>
        <w:ind w:left="1134" w:hanging="414"/>
        <w:jc w:val="both"/>
        <w:rPr>
          <w:rFonts w:ascii="Times New Roman" w:hAnsi="Times New Roman"/>
          <w:sz w:val="22"/>
          <w:szCs w:val="22"/>
          <w:lang w:val="en-US"/>
        </w:rPr>
      </w:pPr>
      <w:r>
        <w:rPr>
          <w:rFonts w:ascii="Times New Roman" w:hAnsi="Times New Roman"/>
          <w:sz w:val="22"/>
          <w:szCs w:val="22"/>
        </w:rPr>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Pr>
          <w:rFonts w:ascii="Times New Roman" w:hAnsi="Times New Roman"/>
          <w:color w:val="000000"/>
          <w:sz w:val="22"/>
          <w:szCs w:val="22"/>
        </w:rPr>
        <w:t xml:space="preserve">English or </w:t>
      </w:r>
      <w:r w:rsidRPr="008625B7">
        <w:rPr>
          <w:rFonts w:ascii="Times New Roman" w:hAnsi="Times New Roman"/>
          <w:color w:val="000000"/>
          <w:sz w:val="22"/>
          <w:szCs w:val="22"/>
        </w:rPr>
        <w:t>Serbian</w:t>
      </w:r>
      <w:r w:rsidRPr="00A42F3B">
        <w:rPr>
          <w:rFonts w:ascii="Times New Roman" w:hAnsi="Times New Roman"/>
          <w:color w:val="000000"/>
          <w:sz w:val="22"/>
          <w:szCs w:val="22"/>
        </w:rPr>
        <w:t xml:space="preserve"> language</w:t>
      </w:r>
      <w:r w:rsidR="00761061">
        <w:rPr>
          <w:rFonts w:ascii="Times New Roman" w:hAnsi="Times New Roman"/>
          <w:color w:val="000000"/>
          <w:sz w:val="22"/>
          <w:szCs w:val="22"/>
        </w:rPr>
        <w:t xml:space="preserve"> if applicable.</w:t>
      </w:r>
    </w:p>
    <w:p w:rsidR="0047783A" w:rsidRPr="003D6B6C" w:rsidRDefault="0047783A" w:rsidP="00B34179">
      <w:pPr>
        <w:spacing w:before="240"/>
        <w:ind w:left="1134" w:hanging="1134"/>
        <w:jc w:val="both"/>
        <w:rPr>
          <w:rFonts w:ascii="Times New Roman" w:hAnsi="Times New Roman"/>
          <w:b/>
          <w:sz w:val="24"/>
          <w:szCs w:val="24"/>
        </w:rPr>
      </w:pPr>
      <w:bookmarkStart w:id="15"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5"/>
    </w:p>
    <w:p w:rsidR="00554164" w:rsidRPr="003D6B6C" w:rsidRDefault="00AB652F" w:rsidP="00D82847">
      <w:pPr>
        <w:autoSpaceDE w:val="0"/>
        <w:autoSpaceDN w:val="0"/>
        <w:adjustRightInd w:val="0"/>
        <w:spacing w:before="0" w:after="0"/>
        <w:ind w:left="1200"/>
        <w:rPr>
          <w:rFonts w:ascii="Times New Roman" w:hAnsi="Times New Roman"/>
          <w:sz w:val="22"/>
          <w:szCs w:val="22"/>
        </w:rPr>
      </w:pPr>
      <w:r w:rsidRPr="003D6B6C">
        <w:rPr>
          <w:rFonts w:ascii="Times New Roman" w:hAnsi="Times New Roman"/>
          <w:sz w:val="22"/>
          <w:szCs w:val="22"/>
        </w:rPr>
        <w:lastRenderedPageBreak/>
        <w:t xml:space="preserve">The </w:t>
      </w:r>
      <w:r>
        <w:rPr>
          <w:rFonts w:ascii="Times New Roman" w:hAnsi="Times New Roman"/>
          <w:sz w:val="22"/>
          <w:szCs w:val="22"/>
        </w:rPr>
        <w:t>c</w:t>
      </w:r>
      <w:r w:rsidRPr="003D6B6C">
        <w:rPr>
          <w:rFonts w:ascii="Times New Roman" w:hAnsi="Times New Roman"/>
          <w:sz w:val="22"/>
          <w:szCs w:val="22"/>
        </w:rPr>
        <w:t xml:space="preserve">ertificate of </w:t>
      </w:r>
      <w:r>
        <w:rPr>
          <w:rFonts w:ascii="Times New Roman" w:hAnsi="Times New Roman"/>
          <w:sz w:val="22"/>
          <w:szCs w:val="22"/>
        </w:rPr>
        <w:t>p</w:t>
      </w:r>
      <w:r w:rsidRPr="003D6B6C">
        <w:rPr>
          <w:rFonts w:ascii="Times New Roman" w:hAnsi="Times New Roman"/>
          <w:sz w:val="22"/>
          <w:szCs w:val="22"/>
        </w:rPr>
        <w:t xml:space="preserve">rovisional </w:t>
      </w:r>
      <w:r>
        <w:rPr>
          <w:rFonts w:ascii="Times New Roman" w:hAnsi="Times New Roman"/>
          <w:sz w:val="22"/>
          <w:szCs w:val="22"/>
        </w:rPr>
        <w:t>a</w:t>
      </w:r>
      <w:r w:rsidRPr="003D6B6C">
        <w:rPr>
          <w:rFonts w:ascii="Times New Roman" w:hAnsi="Times New Roman"/>
          <w:sz w:val="22"/>
          <w:szCs w:val="22"/>
        </w:rPr>
        <w:t xml:space="preserve">cceptance must be issued using the template in Annex C11. </w:t>
      </w:r>
      <w:r w:rsidRPr="00FA034F">
        <w:rPr>
          <w:rFonts w:ascii="Times New Roman" w:hAnsi="Times New Roman"/>
          <w:sz w:val="22"/>
          <w:szCs w:val="22"/>
        </w:rPr>
        <w:t xml:space="preserve">The </w:t>
      </w:r>
      <w:r>
        <w:rPr>
          <w:rFonts w:ascii="Times New Roman" w:hAnsi="Times New Roman"/>
          <w:sz w:val="22"/>
          <w:szCs w:val="22"/>
        </w:rPr>
        <w:t>equipment</w:t>
      </w:r>
      <w:r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47783A" w:rsidRPr="003D6B6C" w:rsidRDefault="0047783A" w:rsidP="00B34179">
      <w:pPr>
        <w:spacing w:before="240"/>
        <w:ind w:left="1134" w:hanging="1134"/>
        <w:jc w:val="both"/>
        <w:rPr>
          <w:rFonts w:ascii="Times New Roman" w:hAnsi="Times New Roman"/>
          <w:b/>
          <w:sz w:val="24"/>
          <w:szCs w:val="24"/>
        </w:rPr>
      </w:pPr>
      <w:bookmarkStart w:id="16"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6"/>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AB652F" w:rsidRPr="00A750CF">
        <w:rPr>
          <w:rFonts w:ascii="Times New Roman" w:hAnsi="Times New Roman"/>
          <w:sz w:val="22"/>
          <w:szCs w:val="22"/>
        </w:rPr>
        <w:t xml:space="preserve">Where the commercial warranty issued by the manufacturer of a particular item/product is longer than the below mentioned warranty of </w:t>
      </w:r>
      <w:r w:rsidR="00AB652F">
        <w:rPr>
          <w:rFonts w:ascii="Times New Roman" w:hAnsi="Times New Roman"/>
          <w:sz w:val="22"/>
          <w:szCs w:val="22"/>
        </w:rPr>
        <w:t>one</w:t>
      </w:r>
      <w:r w:rsidR="00AB652F" w:rsidRPr="00A750CF">
        <w:rPr>
          <w:rFonts w:ascii="Times New Roman" w:hAnsi="Times New Roman"/>
          <w:sz w:val="22"/>
          <w:szCs w:val="22"/>
        </w:rPr>
        <w:t xml:space="preserve"> year after provisional acceptance,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r>
      <w:r w:rsidR="00AB652F" w:rsidRPr="0084416B">
        <w:rPr>
          <w:rFonts w:ascii="Times New Roman" w:hAnsi="Times New Roman"/>
          <w:sz w:val="22"/>
          <w:szCs w:val="22"/>
        </w:rPr>
        <w:t>The warranty must remain valid for one year</w:t>
      </w:r>
      <w:r w:rsidR="00AB652F" w:rsidRPr="003D6B6C">
        <w:rPr>
          <w:rFonts w:ascii="Times New Roman" w:hAnsi="Times New Roman"/>
          <w:sz w:val="22"/>
          <w:szCs w:val="22"/>
        </w:rPr>
        <w:t xml:space="preserve">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7" w:name="_Toc119839451"/>
      <w:bookmarkStart w:id="18"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7"/>
      <w:bookmarkEnd w:id="18"/>
    </w:p>
    <w:p w:rsidR="00AB652F" w:rsidRPr="006F6804" w:rsidRDefault="00177A94" w:rsidP="00EC08EA">
      <w:pPr>
        <w:ind w:left="1134" w:hanging="708"/>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AB652F" w:rsidRPr="00AB652F">
        <w:rPr>
          <w:rFonts w:ascii="Times New Roman" w:hAnsi="Times New Roman"/>
          <w:sz w:val="22"/>
          <w:szCs w:val="22"/>
        </w:rPr>
        <w:t xml:space="preserve"> </w:t>
      </w:r>
      <w:r w:rsidR="00AB652F" w:rsidRPr="006F6804">
        <w:rPr>
          <w:rFonts w:ascii="Times New Roman" w:hAnsi="Times New Roman"/>
          <w:sz w:val="22"/>
          <w:szCs w:val="22"/>
        </w:rPr>
        <w:t xml:space="preserve">The Contractor shall provide or secure the provision of a local reliable after-sales </w:t>
      </w:r>
      <w:r w:rsidR="00AB652F" w:rsidRPr="006F6804">
        <w:rPr>
          <w:rFonts w:ascii="Times New Roman" w:hAnsi="Times New Roman"/>
          <w:sz w:val="22"/>
          <w:szCs w:val="22"/>
        </w:rPr>
        <w:tab/>
        <w:t xml:space="preserve">service, thereafter guaranteeing maintenance, technical back up and the </w:t>
      </w:r>
      <w:r w:rsidR="00AB652F" w:rsidRPr="006F6804">
        <w:rPr>
          <w:rFonts w:ascii="Times New Roman" w:hAnsi="Times New Roman"/>
          <w:sz w:val="22"/>
          <w:szCs w:val="22"/>
        </w:rPr>
        <w:tab/>
        <w:t xml:space="preserve">rapid </w:t>
      </w:r>
      <w:r w:rsidR="00AB652F" w:rsidRPr="006F6804">
        <w:rPr>
          <w:rFonts w:ascii="Times New Roman" w:hAnsi="Times New Roman"/>
          <w:sz w:val="22"/>
          <w:szCs w:val="22"/>
        </w:rPr>
        <w:tab/>
        <w:t xml:space="preserve">replenishment of spare parts and consumables for the offered </w:t>
      </w:r>
      <w:r w:rsidR="00AB652F" w:rsidRPr="006F6804">
        <w:rPr>
          <w:rFonts w:ascii="Times New Roman" w:hAnsi="Times New Roman"/>
          <w:sz w:val="22"/>
          <w:szCs w:val="22"/>
        </w:rPr>
        <w:tab/>
      </w:r>
      <w:r w:rsidR="00AB652F">
        <w:rPr>
          <w:rFonts w:ascii="Times New Roman" w:hAnsi="Times New Roman"/>
          <w:sz w:val="22"/>
          <w:szCs w:val="22"/>
        </w:rPr>
        <w:t>equipment</w:t>
      </w:r>
      <w:r w:rsidR="00AB652F" w:rsidRPr="006F6804">
        <w:rPr>
          <w:rFonts w:ascii="Times New Roman" w:hAnsi="Times New Roman"/>
          <w:sz w:val="22"/>
          <w:szCs w:val="22"/>
        </w:rPr>
        <w:t xml:space="preserve"> after </w:t>
      </w:r>
      <w:r w:rsidR="00AB652F" w:rsidRPr="006F6804">
        <w:rPr>
          <w:rFonts w:ascii="Times New Roman" w:hAnsi="Times New Roman"/>
          <w:sz w:val="22"/>
          <w:szCs w:val="22"/>
        </w:rPr>
        <w:tab/>
        <w:t>provisional acceptance.</w:t>
      </w:r>
    </w:p>
    <w:p w:rsidR="0047783A" w:rsidRPr="003D6B6C" w:rsidRDefault="00AB652F" w:rsidP="00AB652F">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9"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9"/>
    </w:p>
    <w:p w:rsidR="0047783A" w:rsidRPr="003D6B6C" w:rsidRDefault="0047783A" w:rsidP="00AB652F">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AB652F"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AB652F">
        <w:rPr>
          <w:rFonts w:ascii="Times New Roman" w:hAnsi="Times New Roman"/>
          <w:sz w:val="22"/>
          <w:szCs w:val="22"/>
        </w:rPr>
        <w:t xml:space="preserve">relevant court of law in </w:t>
      </w:r>
      <w:r w:rsidR="00AB652F" w:rsidRPr="00CF364F">
        <w:rPr>
          <w:rFonts w:ascii="Times New Roman" w:hAnsi="Times New Roman"/>
          <w:sz w:val="22"/>
          <w:szCs w:val="22"/>
        </w:rPr>
        <w:t>Serbia applying the national legislation of the Contracting Authority.</w:t>
      </w:r>
    </w:p>
    <w:p w:rsidR="00407C90" w:rsidRPr="00AB652F" w:rsidRDefault="00407C90" w:rsidP="00407C90">
      <w:pPr>
        <w:keepNext/>
        <w:keepLines/>
        <w:tabs>
          <w:tab w:val="left" w:pos="1134"/>
        </w:tabs>
        <w:spacing w:before="240"/>
        <w:ind w:left="1134" w:hanging="1134"/>
        <w:rPr>
          <w:rFonts w:ascii="Times New Roman" w:hAnsi="Times New Roman"/>
          <w:b/>
          <w:sz w:val="24"/>
          <w:szCs w:val="24"/>
        </w:rPr>
      </w:pPr>
      <w:r w:rsidRPr="00AB652F">
        <w:rPr>
          <w:rFonts w:ascii="Times New Roman" w:hAnsi="Times New Roman"/>
          <w:b/>
          <w:sz w:val="24"/>
          <w:szCs w:val="24"/>
        </w:rPr>
        <w:t>Article 44</w:t>
      </w:r>
      <w:r w:rsidRPr="00AB652F">
        <w:rPr>
          <w:rFonts w:ascii="Times New Roman" w:hAnsi="Times New Roman"/>
          <w:b/>
          <w:sz w:val="24"/>
          <w:szCs w:val="24"/>
        </w:rPr>
        <w:tab/>
        <w:t xml:space="preserve">Data </w:t>
      </w:r>
      <w:r w:rsidR="00686E07" w:rsidRPr="00AB652F">
        <w:rPr>
          <w:rFonts w:ascii="Times New Roman" w:hAnsi="Times New Roman"/>
          <w:b/>
          <w:sz w:val="24"/>
          <w:szCs w:val="24"/>
        </w:rPr>
        <w:t>p</w:t>
      </w:r>
      <w:r w:rsidRPr="00AB652F">
        <w:rPr>
          <w:rFonts w:ascii="Times New Roman" w:hAnsi="Times New Roman"/>
          <w:b/>
          <w:sz w:val="24"/>
          <w:szCs w:val="24"/>
        </w:rPr>
        <w:t>rotection</w:t>
      </w:r>
    </w:p>
    <w:p w:rsidR="009F7E6A" w:rsidRPr="00AB652F" w:rsidRDefault="009F7E6A" w:rsidP="009F7E6A">
      <w:pPr>
        <w:jc w:val="both"/>
        <w:rPr>
          <w:rFonts w:ascii="Times New Roman" w:hAnsi="Times New Roman"/>
          <w:sz w:val="22"/>
          <w:szCs w:val="22"/>
        </w:rPr>
      </w:pPr>
      <w:r w:rsidRPr="00AB652F">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AB652F">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AB652F">
        <w:rPr>
          <w:rFonts w:ascii="Times New Roman" w:hAnsi="Times New Roman"/>
          <w:sz w:val="22"/>
          <w:szCs w:val="22"/>
        </w:rPr>
        <w:t>personnel</w:t>
      </w:r>
      <w:r w:rsidRPr="00AB652F">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w:t>
      </w:r>
      <w:r w:rsidRPr="00AB652F">
        <w:rPr>
          <w:rFonts w:ascii="Times New Roman" w:hAnsi="Times New Roman"/>
          <w:sz w:val="22"/>
          <w:szCs w:val="22"/>
        </w:rPr>
        <w:lastRenderedPageBreak/>
        <w:t>free movement of such data, and repealing Regulation (EC) No 45/2001 and Decision No 1247/2002/EC</w:t>
      </w:r>
      <w:r w:rsidRPr="00AB652F">
        <w:rPr>
          <w:rStyle w:val="FootnoteReference"/>
          <w:rFonts w:ascii="Times New Roman" w:hAnsi="Times New Roman"/>
          <w:sz w:val="22"/>
          <w:szCs w:val="22"/>
        </w:rPr>
        <w:footnoteReference w:id="2"/>
      </w:r>
      <w:r w:rsidRPr="00AB652F">
        <w:rPr>
          <w:rFonts w:ascii="Times New Roman" w:hAnsi="Times New Roman"/>
          <w:sz w:val="22"/>
          <w:szCs w:val="22"/>
        </w:rPr>
        <w:t xml:space="preserve"> and as detailed in the specific privacy statement published at ePRAG.</w:t>
      </w:r>
    </w:p>
    <w:p w:rsidR="00B605B6" w:rsidRDefault="00B605B6" w:rsidP="0011156A">
      <w:pPr>
        <w:pStyle w:val="ListNumber"/>
        <w:numPr>
          <w:ilvl w:val="0"/>
          <w:numId w:val="0"/>
        </w:numPr>
        <w:rPr>
          <w:sz w:val="22"/>
          <w:szCs w:val="22"/>
        </w:rPr>
      </w:pP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D6C4E" w:rsidRPr="006A5F84" w:rsidRDefault="007D6C4E">
      <w:r w:rsidRPr="006A5F84">
        <w:separator/>
      </w:r>
    </w:p>
  </w:endnote>
  <w:endnote w:type="continuationSeparator" w:id="1">
    <w:p w:rsidR="007D6C4E" w:rsidRPr="006A5F84" w:rsidRDefault="007D6C4E">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5B1830"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5B183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5B1830" w:rsidRPr="009423FB">
      <w:rPr>
        <w:rStyle w:val="PageNumber"/>
        <w:rFonts w:ascii="Times New Roman" w:hAnsi="Times New Roman"/>
        <w:sz w:val="18"/>
        <w:szCs w:val="18"/>
      </w:rPr>
      <w:fldChar w:fldCharType="separate"/>
    </w:r>
    <w:r w:rsidR="007C38EA">
      <w:rPr>
        <w:rStyle w:val="PageNumber"/>
        <w:rFonts w:ascii="Times New Roman" w:hAnsi="Times New Roman"/>
        <w:noProof/>
        <w:sz w:val="18"/>
        <w:szCs w:val="18"/>
        <w:lang w:val="en-GB"/>
      </w:rPr>
      <w:t>4</w:t>
    </w:r>
    <w:r w:rsidR="005B1830"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5B1830"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5B1830" w:rsidRPr="009423FB">
      <w:rPr>
        <w:rStyle w:val="PageNumber"/>
        <w:rFonts w:ascii="Times New Roman" w:hAnsi="Times New Roman"/>
        <w:sz w:val="18"/>
        <w:szCs w:val="18"/>
      </w:rPr>
      <w:fldChar w:fldCharType="separate"/>
    </w:r>
    <w:r w:rsidR="007C38EA">
      <w:rPr>
        <w:rStyle w:val="PageNumber"/>
        <w:rFonts w:ascii="Times New Roman" w:hAnsi="Times New Roman"/>
        <w:noProof/>
        <w:sz w:val="18"/>
        <w:szCs w:val="18"/>
        <w:lang w:val="en-GB"/>
      </w:rPr>
      <w:t>5</w:t>
    </w:r>
    <w:r w:rsidR="005B1830" w:rsidRPr="009423FB">
      <w:rPr>
        <w:rStyle w:val="PageNumber"/>
        <w:rFonts w:ascii="Times New Roman" w:hAnsi="Times New Roman"/>
        <w:sz w:val="18"/>
        <w:szCs w:val="18"/>
      </w:rPr>
      <w:fldChar w:fldCharType="end"/>
    </w:r>
  </w:p>
  <w:p w:rsidR="00117ADA" w:rsidRPr="007E36E3" w:rsidRDefault="005B1830"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5B1830"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D6C4E" w:rsidRPr="006A5F84" w:rsidRDefault="007D6C4E">
      <w:r w:rsidRPr="006A5F84">
        <w:separator/>
      </w:r>
    </w:p>
  </w:footnote>
  <w:footnote w:type="continuationSeparator" w:id="1">
    <w:p w:rsidR="007D6C4E" w:rsidRPr="006A5F84" w:rsidRDefault="007D6C4E">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02402"/>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65DF"/>
    <w:rsid w:val="00066CBA"/>
    <w:rsid w:val="000714BB"/>
    <w:rsid w:val="000724EA"/>
    <w:rsid w:val="0007671B"/>
    <w:rsid w:val="00076D92"/>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5BB0"/>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0D"/>
    <w:rsid w:val="00167C52"/>
    <w:rsid w:val="001766D9"/>
    <w:rsid w:val="00177A94"/>
    <w:rsid w:val="00180E2D"/>
    <w:rsid w:val="00181980"/>
    <w:rsid w:val="00182DBE"/>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676B"/>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25F20"/>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1F7D"/>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277B"/>
    <w:rsid w:val="00395823"/>
    <w:rsid w:val="003A1309"/>
    <w:rsid w:val="003A431E"/>
    <w:rsid w:val="003A61CE"/>
    <w:rsid w:val="003C084D"/>
    <w:rsid w:val="003C1E0F"/>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33E5"/>
    <w:rsid w:val="00445A75"/>
    <w:rsid w:val="004476EF"/>
    <w:rsid w:val="004520DC"/>
    <w:rsid w:val="0045310F"/>
    <w:rsid w:val="00454E0D"/>
    <w:rsid w:val="004554CB"/>
    <w:rsid w:val="0045678B"/>
    <w:rsid w:val="00457D26"/>
    <w:rsid w:val="004607CD"/>
    <w:rsid w:val="004626B5"/>
    <w:rsid w:val="00463E3C"/>
    <w:rsid w:val="00464032"/>
    <w:rsid w:val="00474AF3"/>
    <w:rsid w:val="004775D2"/>
    <w:rsid w:val="00477689"/>
    <w:rsid w:val="0047783A"/>
    <w:rsid w:val="00483E26"/>
    <w:rsid w:val="00484F4F"/>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5C57"/>
    <w:rsid w:val="004F7A0E"/>
    <w:rsid w:val="005005D7"/>
    <w:rsid w:val="00501292"/>
    <w:rsid w:val="00501FF0"/>
    <w:rsid w:val="005047E0"/>
    <w:rsid w:val="00507AF2"/>
    <w:rsid w:val="00507BA0"/>
    <w:rsid w:val="00512BE8"/>
    <w:rsid w:val="00513C6F"/>
    <w:rsid w:val="00515D85"/>
    <w:rsid w:val="00516552"/>
    <w:rsid w:val="00521159"/>
    <w:rsid w:val="0052175F"/>
    <w:rsid w:val="00530948"/>
    <w:rsid w:val="0053480C"/>
    <w:rsid w:val="00535826"/>
    <w:rsid w:val="00536B4A"/>
    <w:rsid w:val="00537189"/>
    <w:rsid w:val="00551543"/>
    <w:rsid w:val="00554164"/>
    <w:rsid w:val="00555F46"/>
    <w:rsid w:val="00556923"/>
    <w:rsid w:val="005623B4"/>
    <w:rsid w:val="005634B2"/>
    <w:rsid w:val="00563662"/>
    <w:rsid w:val="00563669"/>
    <w:rsid w:val="00571238"/>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1830"/>
    <w:rsid w:val="005B2018"/>
    <w:rsid w:val="005B3CAB"/>
    <w:rsid w:val="005C0EA1"/>
    <w:rsid w:val="005C36B8"/>
    <w:rsid w:val="005D0163"/>
    <w:rsid w:val="005D03AA"/>
    <w:rsid w:val="005D05B0"/>
    <w:rsid w:val="005D72F7"/>
    <w:rsid w:val="005F3C51"/>
    <w:rsid w:val="005F62D0"/>
    <w:rsid w:val="00602210"/>
    <w:rsid w:val="00611A73"/>
    <w:rsid w:val="006219A1"/>
    <w:rsid w:val="00623AB3"/>
    <w:rsid w:val="006311FE"/>
    <w:rsid w:val="0063123B"/>
    <w:rsid w:val="00633829"/>
    <w:rsid w:val="00636E8F"/>
    <w:rsid w:val="00637C8F"/>
    <w:rsid w:val="006408AC"/>
    <w:rsid w:val="00640D24"/>
    <w:rsid w:val="00642E75"/>
    <w:rsid w:val="00653DB6"/>
    <w:rsid w:val="00655A60"/>
    <w:rsid w:val="00661B3C"/>
    <w:rsid w:val="0066519D"/>
    <w:rsid w:val="00670223"/>
    <w:rsid w:val="00671958"/>
    <w:rsid w:val="00677500"/>
    <w:rsid w:val="0068247E"/>
    <w:rsid w:val="00684801"/>
    <w:rsid w:val="006858D9"/>
    <w:rsid w:val="00686ACD"/>
    <w:rsid w:val="00686E07"/>
    <w:rsid w:val="006917B2"/>
    <w:rsid w:val="00692095"/>
    <w:rsid w:val="00695007"/>
    <w:rsid w:val="006A5F84"/>
    <w:rsid w:val="006B0AB1"/>
    <w:rsid w:val="006B145B"/>
    <w:rsid w:val="006B5E82"/>
    <w:rsid w:val="006C2F05"/>
    <w:rsid w:val="006C3263"/>
    <w:rsid w:val="006C513D"/>
    <w:rsid w:val="006D3BA1"/>
    <w:rsid w:val="006D3DE4"/>
    <w:rsid w:val="006D5CEE"/>
    <w:rsid w:val="006E5450"/>
    <w:rsid w:val="006E54F2"/>
    <w:rsid w:val="006E56FD"/>
    <w:rsid w:val="006E5B49"/>
    <w:rsid w:val="006E6880"/>
    <w:rsid w:val="006F43E5"/>
    <w:rsid w:val="006F596C"/>
    <w:rsid w:val="00703B91"/>
    <w:rsid w:val="00704477"/>
    <w:rsid w:val="007054EC"/>
    <w:rsid w:val="00711C72"/>
    <w:rsid w:val="0071243A"/>
    <w:rsid w:val="00722016"/>
    <w:rsid w:val="00724C93"/>
    <w:rsid w:val="00724D0C"/>
    <w:rsid w:val="00725082"/>
    <w:rsid w:val="0073450F"/>
    <w:rsid w:val="007520CA"/>
    <w:rsid w:val="0075384B"/>
    <w:rsid w:val="007552DC"/>
    <w:rsid w:val="00760195"/>
    <w:rsid w:val="00761061"/>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2955"/>
    <w:rsid w:val="007C38EA"/>
    <w:rsid w:val="007C75E0"/>
    <w:rsid w:val="007D5FA2"/>
    <w:rsid w:val="007D6C4E"/>
    <w:rsid w:val="007D752C"/>
    <w:rsid w:val="007E0CD5"/>
    <w:rsid w:val="007E36E3"/>
    <w:rsid w:val="007E3D5F"/>
    <w:rsid w:val="007F13B3"/>
    <w:rsid w:val="007F4988"/>
    <w:rsid w:val="007F5DDE"/>
    <w:rsid w:val="007F6802"/>
    <w:rsid w:val="0080623C"/>
    <w:rsid w:val="00806CE0"/>
    <w:rsid w:val="00811F58"/>
    <w:rsid w:val="0081418B"/>
    <w:rsid w:val="008201BB"/>
    <w:rsid w:val="008214E2"/>
    <w:rsid w:val="008227A5"/>
    <w:rsid w:val="00822E7E"/>
    <w:rsid w:val="00826928"/>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230C"/>
    <w:rsid w:val="008C4E79"/>
    <w:rsid w:val="008C5A40"/>
    <w:rsid w:val="008C5DAA"/>
    <w:rsid w:val="008C6A92"/>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372A3"/>
    <w:rsid w:val="0094670B"/>
    <w:rsid w:val="00950B0C"/>
    <w:rsid w:val="0095363A"/>
    <w:rsid w:val="009679FA"/>
    <w:rsid w:val="00973F90"/>
    <w:rsid w:val="0097513D"/>
    <w:rsid w:val="00980A42"/>
    <w:rsid w:val="00983FDE"/>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551"/>
    <w:rsid w:val="00A11F12"/>
    <w:rsid w:val="00A1746F"/>
    <w:rsid w:val="00A2645C"/>
    <w:rsid w:val="00A41B28"/>
    <w:rsid w:val="00A5099A"/>
    <w:rsid w:val="00A512A5"/>
    <w:rsid w:val="00A512C9"/>
    <w:rsid w:val="00A539E4"/>
    <w:rsid w:val="00A56046"/>
    <w:rsid w:val="00A60161"/>
    <w:rsid w:val="00A61ED9"/>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B26E0"/>
    <w:rsid w:val="00AB29A9"/>
    <w:rsid w:val="00AB3A36"/>
    <w:rsid w:val="00AB3AB0"/>
    <w:rsid w:val="00AB5ED5"/>
    <w:rsid w:val="00AB652F"/>
    <w:rsid w:val="00AB66A5"/>
    <w:rsid w:val="00AC1107"/>
    <w:rsid w:val="00AC2621"/>
    <w:rsid w:val="00AC2B97"/>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0AF2"/>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50C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0D7"/>
    <w:rsid w:val="00BD3371"/>
    <w:rsid w:val="00BD72C6"/>
    <w:rsid w:val="00BE3FDF"/>
    <w:rsid w:val="00BF1A9A"/>
    <w:rsid w:val="00C12AF0"/>
    <w:rsid w:val="00C13C29"/>
    <w:rsid w:val="00C1524D"/>
    <w:rsid w:val="00C17310"/>
    <w:rsid w:val="00C20179"/>
    <w:rsid w:val="00C20F71"/>
    <w:rsid w:val="00C302E1"/>
    <w:rsid w:val="00C3235B"/>
    <w:rsid w:val="00C34E40"/>
    <w:rsid w:val="00C41328"/>
    <w:rsid w:val="00C41919"/>
    <w:rsid w:val="00C45D2B"/>
    <w:rsid w:val="00C46270"/>
    <w:rsid w:val="00C52305"/>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629"/>
    <w:rsid w:val="00C95838"/>
    <w:rsid w:val="00CA1354"/>
    <w:rsid w:val="00CA1E77"/>
    <w:rsid w:val="00CA3F76"/>
    <w:rsid w:val="00CA6C68"/>
    <w:rsid w:val="00CB616B"/>
    <w:rsid w:val="00CB6587"/>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0006"/>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63E1"/>
    <w:rsid w:val="00EB2C4D"/>
    <w:rsid w:val="00EB32E9"/>
    <w:rsid w:val="00EB3F46"/>
    <w:rsid w:val="00EB45CB"/>
    <w:rsid w:val="00EB78F4"/>
    <w:rsid w:val="00EC08EA"/>
    <w:rsid w:val="00EC51B6"/>
    <w:rsid w:val="00EE0ED9"/>
    <w:rsid w:val="00EE23B1"/>
    <w:rsid w:val="00EE2E55"/>
    <w:rsid w:val="00EE456E"/>
    <w:rsid w:val="00EF1C05"/>
    <w:rsid w:val="00EF3951"/>
    <w:rsid w:val="00EF6426"/>
    <w:rsid w:val="00EF6552"/>
    <w:rsid w:val="00EF7855"/>
    <w:rsid w:val="00F017DE"/>
    <w:rsid w:val="00F0200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84B"/>
    <w:rsid w:val="00F75F46"/>
    <w:rsid w:val="00F8016B"/>
    <w:rsid w:val="00F804E1"/>
    <w:rsid w:val="00F86699"/>
    <w:rsid w:val="00F874CE"/>
    <w:rsid w:val="00F87ABC"/>
    <w:rsid w:val="00F87F88"/>
    <w:rsid w:val="00F90A9F"/>
    <w:rsid w:val="00F915B4"/>
    <w:rsid w:val="00F91DF6"/>
    <w:rsid w:val="00F94745"/>
    <w:rsid w:val="00F962E3"/>
    <w:rsid w:val="00FA3F66"/>
    <w:rsid w:val="00FB2706"/>
    <w:rsid w:val="00FB3374"/>
    <w:rsid w:val="00FB67DE"/>
    <w:rsid w:val="00FD1E84"/>
    <w:rsid w:val="00FD23CD"/>
    <w:rsid w:val="00FD659C"/>
    <w:rsid w:val="00FD68B9"/>
    <w:rsid w:val="00FD6CB9"/>
    <w:rsid w:val="00FE1372"/>
    <w:rsid w:val="00FE3081"/>
    <w:rsid w:val="00FE3E3B"/>
    <w:rsid w:val="00FE689C"/>
    <w:rsid w:val="00FE7134"/>
    <w:rsid w:val="00FE7D87"/>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B30AF2"/>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30AF2"/>
    <w:pPr>
      <w:keepNext/>
      <w:outlineLvl w:val="1"/>
    </w:pPr>
    <w:rPr>
      <w:lang w:val="fr-BE"/>
    </w:rPr>
  </w:style>
  <w:style w:type="paragraph" w:styleId="Heading3">
    <w:name w:val="heading 3"/>
    <w:basedOn w:val="Normal"/>
    <w:next w:val="Normal"/>
    <w:link w:val="Heading3Char"/>
    <w:qFormat/>
    <w:rsid w:val="00B30AF2"/>
    <w:pPr>
      <w:keepNext/>
      <w:framePr w:hSpace="181" w:vSpace="181" w:wrap="auto" w:vAnchor="text" w:hAnchor="text" w:y="1"/>
      <w:outlineLvl w:val="2"/>
    </w:pPr>
  </w:style>
  <w:style w:type="paragraph" w:styleId="Heading4">
    <w:name w:val="heading 4"/>
    <w:basedOn w:val="Normal"/>
    <w:next w:val="Normal"/>
    <w:link w:val="Heading4Char"/>
    <w:qFormat/>
    <w:rsid w:val="00B30AF2"/>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B30AF2"/>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B30AF2"/>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B30AF2"/>
    <w:pPr>
      <w:numPr>
        <w:ilvl w:val="6"/>
        <w:numId w:val="2"/>
      </w:numPr>
      <w:spacing w:before="240" w:after="60"/>
      <w:outlineLvl w:val="6"/>
    </w:pPr>
    <w:rPr>
      <w:lang w:val="sv-SE"/>
    </w:rPr>
  </w:style>
  <w:style w:type="paragraph" w:styleId="Heading8">
    <w:name w:val="heading 8"/>
    <w:basedOn w:val="Normal"/>
    <w:next w:val="Normal"/>
    <w:link w:val="Heading8Char"/>
    <w:qFormat/>
    <w:rsid w:val="00B30AF2"/>
    <w:pPr>
      <w:numPr>
        <w:ilvl w:val="7"/>
        <w:numId w:val="2"/>
      </w:numPr>
      <w:spacing w:before="240" w:after="60"/>
      <w:outlineLvl w:val="7"/>
    </w:pPr>
    <w:rPr>
      <w:i/>
      <w:lang w:val="sv-SE"/>
    </w:rPr>
  </w:style>
  <w:style w:type="paragraph" w:styleId="Heading9">
    <w:name w:val="heading 9"/>
    <w:basedOn w:val="Normal"/>
    <w:next w:val="Normal"/>
    <w:link w:val="Heading9Char"/>
    <w:qFormat/>
    <w:rsid w:val="00B30AF2"/>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30AF2"/>
    <w:pPr>
      <w:jc w:val="center"/>
    </w:pPr>
    <w:rPr>
      <w:b/>
      <w:sz w:val="28"/>
      <w:lang w:val="fr-BE"/>
    </w:rPr>
  </w:style>
  <w:style w:type="paragraph" w:styleId="Subtitle">
    <w:name w:val="Subtitle"/>
    <w:basedOn w:val="Normal"/>
    <w:link w:val="SubtitleChar"/>
    <w:qFormat/>
    <w:rsid w:val="00B30AF2"/>
    <w:pPr>
      <w:jc w:val="center"/>
    </w:pPr>
    <w:rPr>
      <w:b/>
      <w:sz w:val="28"/>
      <w:lang w:val="fr-BE"/>
    </w:rPr>
  </w:style>
  <w:style w:type="paragraph" w:styleId="BodyTextIndent">
    <w:name w:val="Body Text Indent"/>
    <w:basedOn w:val="Normal"/>
    <w:link w:val="BodyTextIndentChar"/>
    <w:rsid w:val="00B30AF2"/>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B30AF2"/>
    <w:rPr>
      <w:lang w:val="sv-SE"/>
    </w:rPr>
  </w:style>
  <w:style w:type="paragraph" w:styleId="BodyTextIndent2">
    <w:name w:val="Body Text Indent 2"/>
    <w:basedOn w:val="Normal"/>
    <w:link w:val="BodyTextIndent2Char"/>
    <w:rsid w:val="00B30AF2"/>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B30AF2"/>
    <w:pPr>
      <w:tabs>
        <w:tab w:val="left" w:pos="1276"/>
      </w:tabs>
      <w:ind w:left="1276" w:hanging="425"/>
      <w:jc w:val="both"/>
    </w:pPr>
    <w:rPr>
      <w:sz w:val="24"/>
      <w:lang w:val="sv-SE"/>
    </w:rPr>
  </w:style>
  <w:style w:type="paragraph" w:customStyle="1" w:styleId="Text3">
    <w:name w:val="Text 3"/>
    <w:basedOn w:val="Normal"/>
    <w:rsid w:val="00B30AF2"/>
    <w:pPr>
      <w:tabs>
        <w:tab w:val="left" w:pos="2302"/>
      </w:tabs>
      <w:spacing w:after="240"/>
      <w:ind w:left="1202"/>
      <w:jc w:val="both"/>
    </w:pPr>
    <w:rPr>
      <w:sz w:val="24"/>
    </w:rPr>
  </w:style>
  <w:style w:type="paragraph" w:styleId="Header">
    <w:name w:val="header"/>
    <w:basedOn w:val="Normal"/>
    <w:link w:val="HeaderChar"/>
    <w:rsid w:val="00B30AF2"/>
    <w:pPr>
      <w:tabs>
        <w:tab w:val="center" w:pos="4320"/>
        <w:tab w:val="right" w:pos="8640"/>
      </w:tabs>
    </w:pPr>
    <w:rPr>
      <w:lang w:val="sv-SE"/>
    </w:rPr>
  </w:style>
  <w:style w:type="paragraph" w:styleId="Footer">
    <w:name w:val="footer"/>
    <w:basedOn w:val="Normal"/>
    <w:link w:val="FooterChar"/>
    <w:uiPriority w:val="99"/>
    <w:rsid w:val="00B30AF2"/>
    <w:pPr>
      <w:tabs>
        <w:tab w:val="center" w:pos="4320"/>
        <w:tab w:val="right" w:pos="8640"/>
      </w:tabs>
    </w:pPr>
    <w:rPr>
      <w:lang w:val="sv-SE"/>
    </w:rPr>
  </w:style>
  <w:style w:type="character" w:styleId="PageNumber">
    <w:name w:val="page number"/>
    <w:basedOn w:val="DefaultParagraphFont"/>
    <w:rsid w:val="00B30AF2"/>
  </w:style>
  <w:style w:type="paragraph" w:styleId="BodyText3">
    <w:name w:val="Body Text 3"/>
    <w:basedOn w:val="Normal"/>
    <w:link w:val="BodyText3Char"/>
    <w:rsid w:val="00B30AF2"/>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B30AF2"/>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B30AF2"/>
    <w:rPr>
      <w:vertAlign w:val="superscript"/>
    </w:rPr>
  </w:style>
  <w:style w:type="paragraph" w:styleId="DocumentMap">
    <w:name w:val="Document Map"/>
    <w:basedOn w:val="Normal"/>
    <w:link w:val="DocumentMapChar"/>
    <w:semiHidden/>
    <w:rsid w:val="00B30AF2"/>
    <w:pPr>
      <w:shd w:val="clear" w:color="auto" w:fill="000080"/>
    </w:pPr>
    <w:rPr>
      <w:sz w:val="24"/>
      <w:lang w:val="fr-FR"/>
    </w:rPr>
  </w:style>
  <w:style w:type="paragraph" w:customStyle="1" w:styleId="bulletsub">
    <w:name w:val="bullet_sub"/>
    <w:basedOn w:val="Normal"/>
    <w:rsid w:val="00B30AF2"/>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30AF2"/>
    <w:pPr>
      <w:spacing w:after="240"/>
      <w:jc w:val="center"/>
    </w:pPr>
    <w:rPr>
      <w:b/>
      <w:sz w:val="40"/>
    </w:rPr>
  </w:style>
  <w:style w:type="paragraph" w:customStyle="1" w:styleId="SubTitle2">
    <w:name w:val="SubTitle 2"/>
    <w:basedOn w:val="Normal"/>
    <w:rsid w:val="00B30AF2"/>
    <w:pPr>
      <w:spacing w:after="240"/>
      <w:jc w:val="center"/>
    </w:pPr>
    <w:rPr>
      <w:b/>
      <w:sz w:val="32"/>
    </w:rPr>
  </w:style>
  <w:style w:type="paragraph" w:customStyle="1" w:styleId="Annexetitle">
    <w:name w:val="Annexe_title"/>
    <w:basedOn w:val="Heading1"/>
    <w:next w:val="Normal"/>
    <w:autoRedefine/>
    <w:rsid w:val="00B30AF2"/>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30AF2"/>
    <w:pPr>
      <w:keepNext/>
      <w:widowControl w:val="0"/>
      <w:tabs>
        <w:tab w:val="num" w:pos="992"/>
      </w:tabs>
      <w:ind w:left="992" w:hanging="992"/>
    </w:pPr>
    <w:rPr>
      <w:b/>
      <w:sz w:val="18"/>
      <w:lang w:val="fr-FR"/>
    </w:rPr>
  </w:style>
  <w:style w:type="paragraph" w:customStyle="1" w:styleId="titlefront">
    <w:name w:val="title_front"/>
    <w:basedOn w:val="Normal"/>
    <w:rsid w:val="00B30AF2"/>
    <w:pPr>
      <w:spacing w:before="240"/>
      <w:ind w:left="1701"/>
      <w:jc w:val="right"/>
    </w:pPr>
    <w:rPr>
      <w:rFonts w:ascii="Optima" w:hAnsi="Optima"/>
      <w:b/>
      <w:sz w:val="28"/>
    </w:rPr>
  </w:style>
  <w:style w:type="paragraph" w:styleId="TOC1">
    <w:name w:val="toc 1"/>
    <w:basedOn w:val="Normal"/>
    <w:next w:val="Normal"/>
    <w:autoRedefine/>
    <w:semiHidden/>
    <w:rsid w:val="00B30AF2"/>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30AF2"/>
    <w:pPr>
      <w:spacing w:before="0" w:after="0"/>
      <w:ind w:left="200"/>
    </w:pPr>
    <w:rPr>
      <w:rFonts w:ascii="Times New Roman" w:hAnsi="Times New Roman"/>
      <w:smallCaps/>
    </w:rPr>
  </w:style>
  <w:style w:type="character" w:styleId="Strong">
    <w:name w:val="Strong"/>
    <w:qFormat/>
    <w:rsid w:val="00B30AF2"/>
    <w:rPr>
      <w:b/>
    </w:rPr>
  </w:style>
  <w:style w:type="paragraph" w:customStyle="1" w:styleId="Blockquote">
    <w:name w:val="Blockquote"/>
    <w:basedOn w:val="Normal"/>
    <w:rsid w:val="00B30AF2"/>
    <w:pPr>
      <w:widowControl w:val="0"/>
      <w:spacing w:before="100" w:after="100"/>
      <w:ind w:left="360" w:right="360"/>
    </w:pPr>
    <w:rPr>
      <w:sz w:val="24"/>
      <w:lang w:val="en-US"/>
    </w:rPr>
  </w:style>
  <w:style w:type="paragraph" w:styleId="TOC3">
    <w:name w:val="toc 3"/>
    <w:basedOn w:val="Normal"/>
    <w:next w:val="Normal"/>
    <w:autoRedefine/>
    <w:semiHidden/>
    <w:rsid w:val="00B30AF2"/>
    <w:pPr>
      <w:spacing w:before="0" w:after="0"/>
      <w:ind w:left="400"/>
    </w:pPr>
    <w:rPr>
      <w:rFonts w:ascii="Times New Roman" w:hAnsi="Times New Roman"/>
      <w:i/>
    </w:rPr>
  </w:style>
  <w:style w:type="paragraph" w:styleId="TOC4">
    <w:name w:val="toc 4"/>
    <w:basedOn w:val="Normal"/>
    <w:next w:val="Normal"/>
    <w:autoRedefine/>
    <w:semiHidden/>
    <w:rsid w:val="00B30AF2"/>
    <w:pPr>
      <w:spacing w:before="0" w:after="0"/>
      <w:ind w:left="600"/>
    </w:pPr>
    <w:rPr>
      <w:rFonts w:ascii="Times New Roman" w:hAnsi="Times New Roman"/>
      <w:sz w:val="18"/>
    </w:rPr>
  </w:style>
  <w:style w:type="paragraph" w:styleId="TOC5">
    <w:name w:val="toc 5"/>
    <w:basedOn w:val="Normal"/>
    <w:next w:val="Normal"/>
    <w:autoRedefine/>
    <w:semiHidden/>
    <w:rsid w:val="00B30AF2"/>
    <w:pPr>
      <w:spacing w:before="0" w:after="0"/>
      <w:ind w:left="800"/>
    </w:pPr>
    <w:rPr>
      <w:rFonts w:ascii="Times New Roman" w:hAnsi="Times New Roman"/>
      <w:sz w:val="18"/>
    </w:rPr>
  </w:style>
  <w:style w:type="paragraph" w:styleId="TOC6">
    <w:name w:val="toc 6"/>
    <w:basedOn w:val="Normal"/>
    <w:next w:val="Normal"/>
    <w:autoRedefine/>
    <w:semiHidden/>
    <w:rsid w:val="00B30AF2"/>
    <w:pPr>
      <w:spacing w:before="0" w:after="0"/>
      <w:ind w:left="1000"/>
    </w:pPr>
    <w:rPr>
      <w:rFonts w:ascii="Times New Roman" w:hAnsi="Times New Roman"/>
      <w:sz w:val="18"/>
    </w:rPr>
  </w:style>
  <w:style w:type="paragraph" w:styleId="TOC7">
    <w:name w:val="toc 7"/>
    <w:basedOn w:val="Normal"/>
    <w:next w:val="Normal"/>
    <w:autoRedefine/>
    <w:semiHidden/>
    <w:rsid w:val="00B30AF2"/>
    <w:pPr>
      <w:spacing w:before="0" w:after="0"/>
      <w:ind w:left="1200"/>
    </w:pPr>
    <w:rPr>
      <w:rFonts w:ascii="Times New Roman" w:hAnsi="Times New Roman"/>
      <w:sz w:val="18"/>
    </w:rPr>
  </w:style>
  <w:style w:type="paragraph" w:styleId="TOC8">
    <w:name w:val="toc 8"/>
    <w:basedOn w:val="Normal"/>
    <w:next w:val="Normal"/>
    <w:autoRedefine/>
    <w:semiHidden/>
    <w:rsid w:val="00B30AF2"/>
    <w:pPr>
      <w:spacing w:before="0" w:after="0"/>
      <w:ind w:left="1400"/>
    </w:pPr>
    <w:rPr>
      <w:rFonts w:ascii="Times New Roman" w:hAnsi="Times New Roman"/>
      <w:sz w:val="18"/>
    </w:rPr>
  </w:style>
  <w:style w:type="paragraph" w:styleId="TOC9">
    <w:name w:val="toc 9"/>
    <w:basedOn w:val="Normal"/>
    <w:next w:val="Normal"/>
    <w:autoRedefine/>
    <w:semiHidden/>
    <w:rsid w:val="00B30AF2"/>
    <w:pPr>
      <w:spacing w:before="0" w:after="0"/>
      <w:ind w:left="1600"/>
    </w:pPr>
    <w:rPr>
      <w:rFonts w:ascii="Times New Roman" w:hAnsi="Times New Roman"/>
      <w:sz w:val="18"/>
    </w:rPr>
  </w:style>
  <w:style w:type="character" w:styleId="FollowedHyperlink">
    <w:name w:val="FollowedHyperlink"/>
    <w:rsid w:val="00B30AF2"/>
    <w:rPr>
      <w:color w:val="800080"/>
      <w:u w:val="single"/>
    </w:rPr>
  </w:style>
  <w:style w:type="paragraph" w:customStyle="1" w:styleId="Style2">
    <w:name w:val="Style2"/>
    <w:basedOn w:val="Style1"/>
    <w:rsid w:val="00B30AF2"/>
    <w:pPr>
      <w:tabs>
        <w:tab w:val="clear" w:pos="992"/>
        <w:tab w:val="num" w:pos="2091"/>
      </w:tabs>
      <w:ind w:left="2977"/>
      <w:jc w:val="both"/>
    </w:pPr>
  </w:style>
  <w:style w:type="paragraph" w:customStyle="1" w:styleId="text">
    <w:name w:val="text"/>
    <w:rsid w:val="00B30AF2"/>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30AF2"/>
    <w:pPr>
      <w:widowControl w:val="0"/>
      <w:spacing w:before="0" w:after="0" w:line="360" w:lineRule="exact"/>
      <w:jc w:val="center"/>
    </w:pPr>
    <w:rPr>
      <w:b/>
      <w:sz w:val="32"/>
      <w:lang w:val="cs-CZ"/>
    </w:rPr>
  </w:style>
  <w:style w:type="paragraph" w:customStyle="1" w:styleId="ManualNumPar1">
    <w:name w:val="Manual NumPar 1"/>
    <w:basedOn w:val="Normal"/>
    <w:next w:val="Normal"/>
    <w:rsid w:val="00B30AF2"/>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1030</TotalTime>
  <Pages>5</Pages>
  <Words>1406</Words>
  <Characters>8016</Characters>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9404</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2014-02-11T14:32:00Z</cp:lastPrinted>
  <dcterms:created xsi:type="dcterms:W3CDTF">2018-12-18T11:40:00Z</dcterms:created>
  <dcterms:modified xsi:type="dcterms:W3CDTF">2025-06-15T20:51:00Z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